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 мерах по уборке урожая в 202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году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июн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 мерах по уборке урожая в 202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году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специалистами </w:t>
      </w:r>
      <w:r>
        <w:rPr>
          <w:rStyle w:val="Normaltextrun"/>
          <w:rFonts w:cs="PT Astra Serif" w:ascii="PT Astra Serif" w:hAnsi="PT Astra Serif"/>
          <w:b w:val="false"/>
          <w:bCs/>
          <w:color w:val="auto"/>
          <w:sz w:val="28"/>
          <w:szCs w:val="28"/>
          <w:lang w:val="ru-RU"/>
        </w:rPr>
        <w:t>департамента растениеводства, механизации и химизации Министерства агропромышленного комплекса и развития сельских территорий Ульяновской области Антоновой Светланой Александровной.</w:t>
      </w:r>
    </w:p>
    <w:p>
      <w:pPr>
        <w:pStyle w:val="Normal"/>
        <w:shd w:val="clear" w:fill="FFFFFF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 проекте распоряжения обозначены и распределены основные мероприятия, выполнение которых необходимо для организации уборки урожая и обеспечения его сохранности. Указанные в проекте мероприятия закреплены за конкретными исполнителями – организациями и должностными лицами, участвующими в организации уборочных работ, в том числе</w:t>
        <w:br/>
        <w:t xml:space="preserve">за Министерством агропромышленного комплекса и развития сельских территорий Ульяновской области, органами местного самоуправления, кураторами муниципальных образований, руководителями сельскохозяйствен-ных предприятий. </w:t>
      </w:r>
    </w:p>
    <w:p>
      <w:pPr>
        <w:pStyle w:val="Normal"/>
        <w:widowControl/>
        <w:suppressLineNumbers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Проектом предусматривается организация дежурств, ежедневное подведение итогов уборочных работ, проведение штабов по подготовке</w:t>
        <w:br/>
        <w:t>и проведению уборки урожая, организация проверок технического состояния тракторов и самоходных сельскохозяйственных машин, информационное освещение уборки урожая.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Application>LibreOffice/6.4.7.2$Linux_X86_64 LibreOffice_project/40$Build-2</Application>
  <Pages>1</Pages>
  <Words>236</Words>
  <Characters>1930</Characters>
  <CharactersWithSpaces>2196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2022-06-14T09:59:54Z</cp:lastPrinted>
  <dcterms:modified xsi:type="dcterms:W3CDTF">2022-06-14T09:59:58Z</dcterms:modified>
  <cp:revision>74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